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E77B" w14:textId="77777777" w:rsidR="00696895" w:rsidRPr="00696895" w:rsidRDefault="00696895" w:rsidP="00696895">
      <w:pP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69689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关于</w:t>
      </w:r>
      <w:r w:rsidRPr="00696895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  <w:t>2023年度上海市人民政府决策咨询研究重大课题公开招标的通知</w:t>
      </w:r>
    </w:p>
    <w:p w14:paraId="3AA3BEAE" w14:textId="22657E6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color w:val="333333"/>
          <w:spacing w:val="8"/>
        </w:rPr>
        <w:t>经市政府批准，</w:t>
      </w:r>
      <w:r w:rsidRPr="00696895">
        <w:rPr>
          <w:rFonts w:ascii="Microsoft YaHei UI" w:eastAsia="Microsoft YaHei UI" w:hAnsi="Microsoft YaHei UI"/>
          <w:color w:val="333333"/>
          <w:spacing w:val="8"/>
        </w:rPr>
        <w:t>2023年度上海市人民政府决策咨询研究重大课题33项，现面向社会公开招标。具体事项通知如下：</w:t>
      </w:r>
    </w:p>
    <w:p w14:paraId="6E28D78C" w14:textId="2AAF643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一、招标课题目录</w:t>
      </w:r>
    </w:p>
    <w:p w14:paraId="0FF3AFDF" w14:textId="25A4D5FF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1. 上海先行探索中国式现代化的路径和规律研究</w:t>
      </w:r>
    </w:p>
    <w:p w14:paraId="55685CB9" w14:textId="3FB251B5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2. 上海统筹强化科技、教育、人才相互贯通协同研究</w:t>
      </w:r>
    </w:p>
    <w:p w14:paraId="40F27912" w14:textId="36F55DD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3. 上海实施自贸区临港新片区升级转型战略的方法和路径研究</w:t>
      </w:r>
    </w:p>
    <w:p w14:paraId="0611657E" w14:textId="7E1D5605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4. 上海全面推动内外贸一体化研究</w:t>
      </w:r>
    </w:p>
    <w:p w14:paraId="1D70A535" w14:textId="4679ED03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5. 上海应对国际贸易和投资规则规制变化的策略研究</w:t>
      </w:r>
    </w:p>
    <w:p w14:paraId="65D286A1" w14:textId="4E8654D8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6. 上海大力发展数字贸易的重点领域和突破口研究</w:t>
      </w:r>
    </w:p>
    <w:p w14:paraId="4E30CC70" w14:textId="1271CA9F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7. 发挥在沪外资企业“在上海、为全球”作用研究</w:t>
      </w:r>
    </w:p>
    <w:p w14:paraId="79223B1E" w14:textId="3276FBAC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8. 上海激发民营企业创新活力研究</w:t>
      </w:r>
    </w:p>
    <w:p w14:paraId="6F8A0F0E" w14:textId="19A1BB05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9. 上海全要素生产率提升与产业结构、就业结构匹配研究</w:t>
      </w:r>
    </w:p>
    <w:p w14:paraId="5C757F37" w14:textId="6C9077DE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10. 以科研范式变革强化全过程创新机制研究</w:t>
      </w:r>
    </w:p>
    <w:p w14:paraId="2D686343" w14:textId="7D5383AB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11. 浦东发挥科创主力军作用激发科创“核爆点”研究</w:t>
      </w:r>
    </w:p>
    <w:p w14:paraId="6A3E486E" w14:textId="07EF396D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12. 上海高水平服务业加快发展、提升能级研究</w:t>
      </w:r>
    </w:p>
    <w:p w14:paraId="6E128C8C" w14:textId="7F7AB946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13. 上海打造金融风险管理中心的内涵、目标、路径和举措研究</w:t>
      </w:r>
    </w:p>
    <w:p w14:paraId="10C6B2E5" w14:textId="2222B8D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14. 以“转型金融”为突破口提升上海国际绿色金融枢纽能级研究</w:t>
      </w:r>
    </w:p>
    <w:p w14:paraId="2164061D" w14:textId="291A57F1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15. 上海高端航运服务业发展提升的关键问题研究</w:t>
      </w:r>
    </w:p>
    <w:p w14:paraId="05644F94" w14:textId="72AC7CBC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16. 上海生态环境产业技术支撑体系与政策举措研究</w:t>
      </w:r>
    </w:p>
    <w:p w14:paraId="61C3A318" w14:textId="5E3A1D60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17. 上海加强新形势下能源安全保障战略研究</w:t>
      </w:r>
    </w:p>
    <w:p w14:paraId="34B0EE4E" w14:textId="7685C70F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lastRenderedPageBreak/>
        <w:t>18. 上海统筹贯通事前审批和事中事后监管研究</w:t>
      </w:r>
    </w:p>
    <w:p w14:paraId="275CD88F" w14:textId="05328CD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19. 上海率先实现农业现代化的路径和对策研究</w:t>
      </w:r>
    </w:p>
    <w:p w14:paraId="2339CE1A" w14:textId="7F515696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20. 上海低碳制度设计及与国际低碳制度衔接研究</w:t>
      </w:r>
    </w:p>
    <w:p w14:paraId="70DDE745" w14:textId="6E73B3D2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21. 上海“两旧一村”城市更新机制创新与推进对策研究</w:t>
      </w:r>
    </w:p>
    <w:p w14:paraId="3407A567" w14:textId="67C67EE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22. 上海加强应急领域共建共治共享能力研究</w:t>
      </w:r>
    </w:p>
    <w:p w14:paraId="3D1994C9" w14:textId="44FED78E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23. 以市场化机制激发长三角一体化发展的内生动力研究</w:t>
      </w:r>
    </w:p>
    <w:p w14:paraId="1EF39820" w14:textId="7FA03D8C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24. 上海促进高质量充分就业的机制与路径研究</w:t>
      </w:r>
    </w:p>
    <w:p w14:paraId="199A25C3" w14:textId="4166115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25. 上海推动职业教育类型化发展研究</w:t>
      </w:r>
    </w:p>
    <w:p w14:paraId="3585ABA9" w14:textId="03B3ABE5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26. 上海都市型文旅产业高质量融合发展研究</w:t>
      </w:r>
    </w:p>
    <w:p w14:paraId="6C50316A" w14:textId="1ED624A5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27. 上海全面提升为老服务水平的思路和举措研究</w:t>
      </w:r>
    </w:p>
    <w:p w14:paraId="0BEE2F86" w14:textId="1848871D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28. 上海创新医防协同与医防融合机制研究</w:t>
      </w:r>
    </w:p>
    <w:p w14:paraId="1B97FCC0" w14:textId="31742DB7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29. 上海完善基层医疗卫生服务功能研究</w:t>
      </w:r>
    </w:p>
    <w:p w14:paraId="042FB73D" w14:textId="510A9893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30. 上海都市体育发展体系建设研究</w:t>
      </w:r>
    </w:p>
    <w:p w14:paraId="3BEC3042" w14:textId="1E8C2A1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31. 上海推进“五个新城”与乡村振兴有效衔接的路径和对策研究</w:t>
      </w:r>
    </w:p>
    <w:p w14:paraId="0F02553B" w14:textId="0237F41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32. 上海国资投资运营平台深化改革研究</w:t>
      </w:r>
    </w:p>
    <w:p w14:paraId="678C66D0" w14:textId="77777777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33. 上海促进数据要素流通研究</w:t>
      </w:r>
    </w:p>
    <w:p w14:paraId="1051241D" w14:textId="77777777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</w:p>
    <w:p w14:paraId="0CFF115E" w14:textId="379C35F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二、招标对象</w:t>
      </w:r>
    </w:p>
    <w:p w14:paraId="1FCF3213" w14:textId="7ECEA76F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color w:val="333333"/>
          <w:spacing w:val="8"/>
        </w:rPr>
        <w:t>本次招标面向全国高等院校、科研机构、社会团体、企业等单位或个人（个人申报须有课题依托管理单位）。</w:t>
      </w:r>
    </w:p>
    <w:p w14:paraId="0317FFC1" w14:textId="58FA3D57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color w:val="333333"/>
          <w:spacing w:val="8"/>
        </w:rPr>
        <w:t>申请人须具有较高的政治素质，熟悉决策咨询研究工作，并具有与所申报课题相关的研究基础。</w:t>
      </w:r>
    </w:p>
    <w:p w14:paraId="0A220D20" w14:textId="131021B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lastRenderedPageBreak/>
        <w:t>三、申报方式及程序</w:t>
      </w:r>
    </w:p>
    <w:p w14:paraId="52A405C0" w14:textId="5E52DC6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1．申报方式：</w:t>
      </w:r>
      <w:r>
        <w:rPr>
          <w:rFonts w:ascii="Microsoft YaHei UI" w:eastAsia="Microsoft YaHei UI" w:hAnsi="Microsoft YaHei UI" w:hint="eastAsia"/>
          <w:color w:val="333333"/>
          <w:spacing w:val="8"/>
        </w:rPr>
        <w:t>采用</w:t>
      </w:r>
      <w:r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网上申报方式</w:t>
      </w:r>
      <w:r>
        <w:rPr>
          <w:rFonts w:ascii="Microsoft YaHei UI" w:eastAsia="Microsoft YaHei UI" w:hAnsi="Microsoft YaHei UI" w:hint="eastAsia"/>
          <w:color w:val="333333"/>
          <w:spacing w:val="8"/>
        </w:rPr>
        <w:t>，无需提交纸质材料。申请人通过登录</w:t>
      </w:r>
      <w:r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上海市人民政府发展研究中心网站（http://www.fzzx.sh.gov.cn）——“项目申报”栏目——“决策咨询研究项目管理平台”</w:t>
      </w:r>
      <w:r>
        <w:rPr>
          <w:rFonts w:ascii="Microsoft YaHei UI" w:eastAsia="Microsoft YaHei UI" w:hAnsi="Microsoft YaHei UI" w:hint="eastAsia"/>
          <w:color w:val="333333"/>
          <w:spacing w:val="8"/>
        </w:rPr>
        <w:t>进行申报（</w:t>
      </w:r>
      <w:r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“申请单位”填写“上海交通大学”</w:t>
      </w:r>
      <w:r>
        <w:rPr>
          <w:rFonts w:ascii="Microsoft YaHei UI" w:eastAsia="Microsoft YaHei UI" w:hAnsi="Microsoft YaHei UI" w:hint="eastAsia"/>
          <w:color w:val="333333"/>
          <w:spacing w:val="8"/>
        </w:rPr>
        <w:t>）。</w:t>
      </w:r>
    </w:p>
    <w:p w14:paraId="5B1BD09F" w14:textId="0F26E699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2. 申报步骤：</w:t>
      </w:r>
      <w:r w:rsidRPr="00694659">
        <w:rPr>
          <w:rFonts w:ascii="Microsoft YaHei UI" w:eastAsia="Microsoft YaHei UI" w:hAnsi="Microsoft YaHei UI" w:hint="eastAsia"/>
          <w:color w:val="333333"/>
          <w:spacing w:val="8"/>
        </w:rPr>
        <w:t>（</w:t>
      </w:r>
      <w:r w:rsidRPr="00694659">
        <w:rPr>
          <w:rFonts w:ascii="Microsoft YaHei UI" w:eastAsia="Microsoft YaHei UI" w:hAnsi="Microsoft YaHei UI"/>
          <w:color w:val="333333"/>
          <w:spacing w:val="8"/>
        </w:rPr>
        <w:t>1）申请人所在单位进行注册（单位注册需使用“法人一证通”进行校验）；（2）申请人采用网上申报方式，无需提交纸质材料。申请人通过登录上海市人民政府发展研究中心网站（http://www.fzzx.sh.gov.cn）——“项目申报”栏目——“决策咨询研究项目管理平台”进行申报。；（3）申请人填写提交申报材料；（4）申请人所在单位完成网上审核。</w:t>
      </w:r>
    </w:p>
    <w:p w14:paraId="2E902052" w14:textId="626924F1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3．课题指南获取：登录上海市人民政府发展研究中心网站查阅《2023年度上海市人民政府决策咨询研究重大课题指南》。</w:t>
      </w:r>
    </w:p>
    <w:p w14:paraId="028FE834" w14:textId="76BB159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4．申报数量限制：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同一申请人，申报课题数量不超过两项。</w:t>
      </w:r>
    </w:p>
    <w:p w14:paraId="5432A515" w14:textId="0237BB6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5．在线填写要求：申请人应仔细阅读课题指南和填表说明；申报材料应简明扼要，突出重点和关键，其中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《课题研究大纲》部分不得出现课题申请人及成员的姓名和单位</w:t>
      </w:r>
      <w:r w:rsidRPr="00696895">
        <w:rPr>
          <w:rFonts w:ascii="Microsoft YaHei UI" w:eastAsia="Microsoft YaHei UI" w:hAnsi="Microsoft YaHei UI"/>
          <w:color w:val="333333"/>
          <w:spacing w:val="8"/>
        </w:rPr>
        <w:t>，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字数不超过3000字</w:t>
      </w:r>
      <w:r w:rsidRPr="00696895">
        <w:rPr>
          <w:rFonts w:ascii="Microsoft YaHei UI" w:eastAsia="Microsoft YaHei UI" w:hAnsi="Microsoft YaHei UI"/>
          <w:color w:val="333333"/>
          <w:spacing w:val="8"/>
        </w:rPr>
        <w:t>，图表不超过规定尺寸。</w:t>
      </w:r>
    </w:p>
    <w:p w14:paraId="6BE10BCE" w14:textId="0D0AA7FB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6．网上申报受理日期：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2023年3月15日至4月6日</w:t>
      </w: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1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6</w:t>
      </w: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：0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0</w:t>
      </w: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截止。</w:t>
      </w:r>
    </w:p>
    <w:p w14:paraId="07F4F952" w14:textId="6CDB11D6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四、评标程序</w:t>
      </w:r>
    </w:p>
    <w:p w14:paraId="0C46FC79" w14:textId="2B482DC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1．申报受理后，由招标单位组织评审。</w:t>
      </w:r>
    </w:p>
    <w:p w14:paraId="176C1FDF" w14:textId="0B11595B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2．中标结果将于2023年4月下旬在中国上海门户网站（www.sh.gov.cn）和上海市人民政府发展研究中心网站公布。</w:t>
      </w:r>
    </w:p>
    <w:p w14:paraId="2D12D374" w14:textId="339DA9A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lastRenderedPageBreak/>
        <w:t>五、时间进度及成果要求</w:t>
      </w:r>
    </w:p>
    <w:p w14:paraId="23D59E87" w14:textId="42829BAD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1. 研究期限为2023年4月至9月。</w:t>
      </w:r>
    </w:p>
    <w:p w14:paraId="170EBE5B" w14:textId="279B092D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2. 提交研究成果包括：研究报告（含摘要）和专报。</w:t>
      </w:r>
    </w:p>
    <w:p w14:paraId="1F7FF535" w14:textId="01BBC836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六、经费资助</w:t>
      </w:r>
    </w:p>
    <w:p w14:paraId="7FE2EDE7" w14:textId="1BFC7053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color w:val="333333"/>
          <w:spacing w:val="8"/>
        </w:rPr>
        <w:t>每项资助人民币</w:t>
      </w:r>
      <w:r w:rsidRPr="00696895">
        <w:rPr>
          <w:rFonts w:ascii="Microsoft YaHei UI" w:eastAsia="Microsoft YaHei UI" w:hAnsi="Microsoft YaHei UI"/>
          <w:color w:val="333333"/>
          <w:spacing w:val="8"/>
        </w:rPr>
        <w:t>8至12万元。</w:t>
      </w:r>
    </w:p>
    <w:p w14:paraId="3FCDC62E" w14:textId="77777777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七、联系方式</w:t>
      </w:r>
    </w:p>
    <w:p w14:paraId="19584629" w14:textId="77777777" w:rsidR="00696895" w:rsidRPr="004421E3" w:rsidRDefault="00696895" w:rsidP="00696895">
      <w:pPr>
        <w:ind w:firstLineChars="200" w:firstLine="512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地址：闵行校区新行政B楼5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19</w:t>
      </w:r>
    </w:p>
    <w:p w14:paraId="6A884492" w14:textId="77777777" w:rsidR="00696895" w:rsidRPr="004421E3" w:rsidRDefault="00696895" w:rsidP="00696895">
      <w:pPr>
        <w:ind w:firstLineChars="200" w:firstLine="512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联系人：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王逸腾</w:t>
      </w:r>
    </w:p>
    <w:p w14:paraId="08BB7F4B" w14:textId="3B1EF0E8" w:rsidR="00696895" w:rsidRPr="004421E3" w:rsidRDefault="00696895" w:rsidP="00696895">
      <w:pPr>
        <w:ind w:firstLineChars="200" w:firstLine="512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电话：</w:t>
      </w:r>
      <w:r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  <w:t>34205041</w:t>
      </w:r>
    </w:p>
    <w:p w14:paraId="4262D18E" w14:textId="05B813D2" w:rsidR="00F14814" w:rsidRPr="00696895" w:rsidRDefault="00696895" w:rsidP="00696895">
      <w:pPr>
        <w:ind w:firstLineChars="200" w:firstLine="512"/>
        <w:rPr>
          <w:rFonts w:hint="eastAsia"/>
        </w:rPr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邮箱：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jdzk</w:t>
      </w: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@sjtu.edu.cn</w:t>
      </w:r>
    </w:p>
    <w:sectPr w:rsidR="00F14814" w:rsidRPr="00696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93C5" w14:textId="77777777" w:rsidR="00D02CD0" w:rsidRDefault="00D02CD0" w:rsidP="00696895">
      <w:r>
        <w:separator/>
      </w:r>
    </w:p>
  </w:endnote>
  <w:endnote w:type="continuationSeparator" w:id="0">
    <w:p w14:paraId="7E25AF84" w14:textId="77777777" w:rsidR="00D02CD0" w:rsidRDefault="00D02CD0" w:rsidP="0069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43A5" w14:textId="77777777" w:rsidR="00D02CD0" w:rsidRDefault="00D02CD0" w:rsidP="00696895">
      <w:r>
        <w:separator/>
      </w:r>
    </w:p>
  </w:footnote>
  <w:footnote w:type="continuationSeparator" w:id="0">
    <w:p w14:paraId="76C2E873" w14:textId="77777777" w:rsidR="00D02CD0" w:rsidRDefault="00D02CD0" w:rsidP="0069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8B"/>
    <w:rsid w:val="000D098B"/>
    <w:rsid w:val="00696895"/>
    <w:rsid w:val="00D02CD0"/>
    <w:rsid w:val="00F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4712D"/>
  <w15:chartTrackingRefBased/>
  <w15:docId w15:val="{9FA05CEE-BED0-437B-9E8C-83BD1B1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8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895"/>
    <w:rPr>
      <w:sz w:val="18"/>
      <w:szCs w:val="18"/>
    </w:rPr>
  </w:style>
  <w:style w:type="paragraph" w:styleId="a7">
    <w:name w:val="Normal (Web)"/>
    <w:basedOn w:val="a"/>
    <w:uiPriority w:val="99"/>
    <w:unhideWhenUsed/>
    <w:rsid w:val="00696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Yiteng</dc:creator>
  <cp:keywords/>
  <dc:description/>
  <cp:lastModifiedBy>Wang Yiteng</cp:lastModifiedBy>
  <cp:revision>2</cp:revision>
  <dcterms:created xsi:type="dcterms:W3CDTF">2023-03-15T07:20:00Z</dcterms:created>
  <dcterms:modified xsi:type="dcterms:W3CDTF">2023-03-15T07:25:00Z</dcterms:modified>
</cp:coreProperties>
</file>