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692C" w14:textId="11FB513B" w:rsidR="0060594B" w:rsidRPr="009A5B21" w:rsidRDefault="0060594B" w:rsidP="009A5B2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9A5B21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关于2021年度上海市人民政府决策咨询研究</w:t>
      </w:r>
      <w:proofErr w:type="gramStart"/>
      <w:r w:rsidRPr="009A5B21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浦东专项</w:t>
      </w:r>
      <w:proofErr w:type="gramEnd"/>
      <w:r w:rsidRPr="009A5B21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课题公开招标的通知</w:t>
      </w:r>
    </w:p>
    <w:p w14:paraId="6A4B8942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2021年度上海市人民政府决策咨询研究</w:t>
      </w:r>
      <w:proofErr w:type="gramStart"/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浦东专项</w:t>
      </w:r>
      <w:proofErr w:type="gramEnd"/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课题即日起面向社会发布并公开招标。现通知如下：</w:t>
      </w:r>
    </w:p>
    <w:p w14:paraId="6EDDA5BB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一、课题目录</w:t>
      </w:r>
    </w:p>
    <w:p w14:paraId="482BE155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（一）浦东海关特殊监管区域制度创新深化与功能拓展研究</w:t>
      </w:r>
    </w:p>
    <w:p w14:paraId="56705105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（二）新兴产业领域大宗商品发展的思路和对策研究</w:t>
      </w:r>
    </w:p>
    <w:p w14:paraId="2DE1102C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二、招标范围</w:t>
      </w:r>
    </w:p>
    <w:p w14:paraId="2E363C48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本次招标面向高等院校、科研机构、党政机关、社会团体、企业等单位或个人（个人申报须有课题依托管理单位）。</w:t>
      </w:r>
    </w:p>
    <w:p w14:paraId="71B356E4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三、投标程序</w:t>
      </w:r>
    </w:p>
    <w:p w14:paraId="081966A3" w14:textId="3B81EB0C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1．申报方式：采用</w:t>
      </w: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网上申报方式</w:t>
      </w: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，无需提交纸质材料。申请人通过</w:t>
      </w: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登录上海市人民政府发展研究中心网站（http://www.fzzx.sh.gov.cn）——“项目申报”栏目——“决策咨询研究项目管理平台”进行申报</w:t>
      </w:r>
      <w:r w:rsidR="009A5B21" w:rsidRPr="002C45B7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（“申请单位”填写“上海交通大学”）</w:t>
      </w: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。</w:t>
      </w:r>
    </w:p>
    <w:p w14:paraId="51832DCA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 申报步骤：（1）申请人所在单位进行注册（单位注册需使用“法人一证通”进行校验）；（2）申请人注册并完成实名认证（已注册用户可直接登录）；（3）申请人填写提交申报材料；（4）申请人所在单位完成网上审核。</w:t>
      </w:r>
    </w:p>
    <w:p w14:paraId="30808F87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3．课题指南获取：登录上海市人民政府发展研究中心网站查阅《2021年度上海市人民政府决策咨询研</w:t>
      </w:r>
      <w:bookmarkStart w:id="0" w:name="_GoBack"/>
      <w:bookmarkEnd w:id="0"/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究浦东专项课题指南》。</w:t>
      </w:r>
    </w:p>
    <w:p w14:paraId="4F0EEC28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4．在线填写要求：申请人填表前应仔细阅读课题指南和填表说明；申报材料填写应简明扼要，突出重点和关键，其中</w:t>
      </w: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《课题研究大纲》部分不得出现课题申请人及成员的姓名和单位，字数限5000字</w:t>
      </w: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，图表不超过规定尺寸。</w:t>
      </w:r>
    </w:p>
    <w:p w14:paraId="0A86AAA1" w14:textId="463722A9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5．网上申报受理日期：</w:t>
      </w:r>
      <w:r w:rsidR="009A5B21" w:rsidRPr="00345128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2021年5月6日至5月20日</w:t>
      </w:r>
      <w:r w:rsid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16：00截止</w:t>
      </w:r>
      <w:r w:rsidR="009A5B21" w:rsidRPr="00345128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。逾期不予受理。</w:t>
      </w:r>
    </w:p>
    <w:p w14:paraId="6B4C8BC5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四、评标程序</w:t>
      </w:r>
    </w:p>
    <w:p w14:paraId="729B07FD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1、标书评审：由招标单位对《申请书》和《课题研究大纲》进行评审，确定最终中标课题组。</w:t>
      </w:r>
    </w:p>
    <w:p w14:paraId="408E65D4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2、中标结果公布：招标单位将于2021年6月中旬左右在上海市人民政府发展研究中心网站(www.fzzx.sh.gov.cn)公布中标结果。</w:t>
      </w:r>
    </w:p>
    <w:p w14:paraId="31E545AA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五、经费资助</w:t>
      </w:r>
    </w:p>
    <w:p w14:paraId="43AE67D2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课题（</w:t>
      </w:r>
      <w:proofErr w:type="gramStart"/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一</w:t>
      </w:r>
      <w:proofErr w:type="gramEnd"/>
      <w:r w:rsidRPr="009A5B21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）（二）经费各为15万元。</w:t>
      </w:r>
    </w:p>
    <w:p w14:paraId="14D1ADB2" w14:textId="77777777" w:rsidR="0060594B" w:rsidRPr="009A5B21" w:rsidRDefault="0060594B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color w:val="333333"/>
          <w:spacing w:val="8"/>
          <w:sz w:val="21"/>
          <w:szCs w:val="21"/>
        </w:rPr>
      </w:pPr>
      <w:r w:rsidRPr="009A5B21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六、联系方式</w:t>
      </w:r>
    </w:p>
    <w:p w14:paraId="1F11B645" w14:textId="77777777" w:rsidR="009A5B21" w:rsidRPr="00345128" w:rsidRDefault="009A5B21" w:rsidP="009A5B21">
      <w:pPr>
        <w:pStyle w:val="a3"/>
        <w:shd w:val="clear" w:color="auto" w:fill="FFFFFF"/>
        <w:spacing w:line="360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地址：</w:t>
      </w:r>
      <w:r w:rsidRPr="00345128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闵行校区新行政</w:t>
      </w:r>
      <w:r w:rsidRPr="00345128"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  <w:t>B楼519</w:t>
      </w:r>
    </w:p>
    <w:p w14:paraId="058A362F" w14:textId="77777777" w:rsidR="009A5B21" w:rsidRPr="00345128" w:rsidRDefault="009A5B21" w:rsidP="009A5B21">
      <w:pPr>
        <w:pStyle w:val="a3"/>
        <w:shd w:val="clear" w:color="auto" w:fill="FFFFFF"/>
        <w:spacing w:line="360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345128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联系人：</w:t>
      </w: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王逸腾</w:t>
      </w:r>
    </w:p>
    <w:p w14:paraId="224D56A2" w14:textId="77777777" w:rsidR="009A5B21" w:rsidRPr="00345128" w:rsidRDefault="009A5B21" w:rsidP="009A5B21">
      <w:pPr>
        <w:pStyle w:val="a3"/>
        <w:shd w:val="clear" w:color="auto" w:fill="FFFFFF"/>
        <w:spacing w:line="360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345128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电话：</w:t>
      </w:r>
      <w:r w:rsidRPr="00345128"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  <w:t>34205041</w:t>
      </w:r>
    </w:p>
    <w:p w14:paraId="0C01491D" w14:textId="77777777" w:rsidR="009A5B21" w:rsidRPr="00345128" w:rsidRDefault="009A5B21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 w:rsidRPr="00345128"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邮箱：</w:t>
      </w:r>
      <w:r w:rsidRPr="00345128"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  <w:t>jdzk@sjtu.edu.cn</w:t>
      </w:r>
    </w:p>
    <w:p w14:paraId="13DC83C0" w14:textId="77777777" w:rsidR="0092038C" w:rsidRPr="009A5B21" w:rsidRDefault="0092038C" w:rsidP="009A5B21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</w:p>
    <w:sectPr w:rsidR="0092038C" w:rsidRPr="009A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2A7" w14:textId="77777777" w:rsidR="000A5BB0" w:rsidRDefault="000A5BB0" w:rsidP="009A5B21">
      <w:r>
        <w:separator/>
      </w:r>
    </w:p>
  </w:endnote>
  <w:endnote w:type="continuationSeparator" w:id="0">
    <w:p w14:paraId="46C5B3E8" w14:textId="77777777" w:rsidR="000A5BB0" w:rsidRDefault="000A5BB0" w:rsidP="009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64A3" w14:textId="77777777" w:rsidR="000A5BB0" w:rsidRDefault="000A5BB0" w:rsidP="009A5B21">
      <w:r>
        <w:separator/>
      </w:r>
    </w:p>
  </w:footnote>
  <w:footnote w:type="continuationSeparator" w:id="0">
    <w:p w14:paraId="7667ECF8" w14:textId="77777777" w:rsidR="000A5BB0" w:rsidRDefault="000A5BB0" w:rsidP="009A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20"/>
    <w:rsid w:val="000A5BB0"/>
    <w:rsid w:val="0060594B"/>
    <w:rsid w:val="0092038C"/>
    <w:rsid w:val="009A5B21"/>
    <w:rsid w:val="00B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443F"/>
  <w15:chartTrackingRefBased/>
  <w15:docId w15:val="{034094AB-8CC4-46FB-BC78-17541E0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timespn">
    <w:name w:val="titletimespn"/>
    <w:basedOn w:val="a0"/>
    <w:rsid w:val="0060594B"/>
  </w:style>
  <w:style w:type="character" w:customStyle="1" w:styleId="misidecifaspan">
    <w:name w:val="misidecifaspan"/>
    <w:basedOn w:val="a0"/>
    <w:rsid w:val="0060594B"/>
  </w:style>
  <w:style w:type="paragraph" w:styleId="a3">
    <w:name w:val="Normal (Web)"/>
    <w:basedOn w:val="a"/>
    <w:uiPriority w:val="99"/>
    <w:unhideWhenUsed/>
    <w:rsid w:val="00605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594B"/>
    <w:rPr>
      <w:b/>
      <w:bCs/>
    </w:rPr>
  </w:style>
  <w:style w:type="paragraph" w:styleId="a5">
    <w:name w:val="header"/>
    <w:basedOn w:val="a"/>
    <w:link w:val="a6"/>
    <w:uiPriority w:val="99"/>
    <w:unhideWhenUsed/>
    <w:rsid w:val="009A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5B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5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99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43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04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7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2021-05-06T01:32:00Z</dcterms:created>
  <dcterms:modified xsi:type="dcterms:W3CDTF">2021-05-06T01:53:00Z</dcterms:modified>
</cp:coreProperties>
</file>