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788C" w14:textId="77777777" w:rsidR="004A1093" w:rsidRPr="004A1093" w:rsidRDefault="004A1093" w:rsidP="00694659">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4A1093">
        <w:rPr>
          <w:rFonts w:ascii="Microsoft YaHei UI" w:eastAsia="Microsoft YaHei UI" w:hAnsi="Microsoft YaHei UI" w:cs="宋体" w:hint="eastAsia"/>
          <w:b/>
          <w:bCs/>
          <w:color w:val="333333"/>
          <w:spacing w:val="8"/>
          <w:kern w:val="0"/>
          <w:sz w:val="33"/>
          <w:szCs w:val="33"/>
        </w:rPr>
        <w:t>2021年度上海市人民政府决策咨询研究重点课题公开招标的通知</w:t>
      </w:r>
    </w:p>
    <w:p w14:paraId="40F5220B"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为深入贯彻习近平总书记考察上海重要讲话和在浦东开发开放30周年庆祝大会上重要讲话精神，全面落实本市“十四五”规划，主动服务和融入新发展格局，推动高质量发展、创造高品质生活、实现高效能治理，不断提升城市能级和核心竞争力，经市政府批准，确定2021年度上海市人民政府决策咨询研究重点课题50项，现面向社会公开招标。具体事项通知如下：</w:t>
      </w:r>
    </w:p>
    <w:p w14:paraId="1727D1BF"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一、招标课题目录</w:t>
      </w:r>
    </w:p>
    <w:p w14:paraId="6DA64661"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1.中欧投资协定、RCEP和加入CPTPP对上海的影响与对策研究</w:t>
      </w:r>
    </w:p>
    <w:p w14:paraId="1EE6E7B5"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2.上海打造国内大循环中心节点与国内国际双循环战略链接互动发展研究</w:t>
      </w:r>
    </w:p>
    <w:p w14:paraId="1B53D6F5"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3.浦东新区打造社会主义现代化建设</w:t>
      </w:r>
      <w:proofErr w:type="gramStart"/>
      <w:r>
        <w:rPr>
          <w:rFonts w:ascii="Microsoft YaHei UI" w:eastAsia="Microsoft YaHei UI" w:hAnsi="Microsoft YaHei UI" w:hint="eastAsia"/>
          <w:color w:val="333333"/>
          <w:spacing w:val="8"/>
        </w:rPr>
        <w:t>引领区</w:t>
      </w:r>
      <w:proofErr w:type="gramEnd"/>
      <w:r>
        <w:rPr>
          <w:rFonts w:ascii="Microsoft YaHei UI" w:eastAsia="Microsoft YaHei UI" w:hAnsi="Microsoft YaHei UI" w:hint="eastAsia"/>
          <w:color w:val="333333"/>
          <w:spacing w:val="8"/>
        </w:rPr>
        <w:t>的推进路径研究</w:t>
      </w:r>
    </w:p>
    <w:p w14:paraId="7A6A446D"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4.临港新片区打造高水平数字贸易枢纽港研究</w:t>
      </w:r>
    </w:p>
    <w:p w14:paraId="59CFF81E"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5.充分发挥虹桥商务区在虹桥国际开放枢纽中“动力核”作用研究</w:t>
      </w:r>
    </w:p>
    <w:p w14:paraId="1A6E6DBE"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6.促进在沪跨国公司功能升级的思路和对策研究</w:t>
      </w:r>
    </w:p>
    <w:p w14:paraId="1974D982"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7.上海发展人民币离岸交易研究</w:t>
      </w:r>
    </w:p>
    <w:p w14:paraId="32C90EA5"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8.数字人民币对上海国际金融中心建设的影响研究</w:t>
      </w:r>
    </w:p>
    <w:p w14:paraId="66438F2E"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9.新技术涌现下新型国际贸易业</w:t>
      </w:r>
      <w:proofErr w:type="gramStart"/>
      <w:r>
        <w:rPr>
          <w:rFonts w:ascii="Microsoft YaHei UI" w:eastAsia="Microsoft YaHei UI" w:hAnsi="Microsoft YaHei UI" w:hint="eastAsia"/>
          <w:color w:val="333333"/>
          <w:spacing w:val="8"/>
        </w:rPr>
        <w:t>态模式</w:t>
      </w:r>
      <w:proofErr w:type="gramEnd"/>
      <w:r>
        <w:rPr>
          <w:rFonts w:ascii="Microsoft YaHei UI" w:eastAsia="Microsoft YaHei UI" w:hAnsi="Microsoft YaHei UI" w:hint="eastAsia"/>
          <w:color w:val="333333"/>
          <w:spacing w:val="8"/>
        </w:rPr>
        <w:t>和制度瓶颈研究</w:t>
      </w:r>
    </w:p>
    <w:p w14:paraId="48D8BD3D"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10.上海国际消费中心城市建设与扩大内需打造国内大市场研究</w:t>
      </w:r>
    </w:p>
    <w:p w14:paraId="3DE0ABB8"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11.新形势下上海发展“五型经济”的思路和举措研究</w:t>
      </w:r>
    </w:p>
    <w:p w14:paraId="6F289486"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12.新环境下上海平台经济发展的思路与举措研究</w:t>
      </w:r>
    </w:p>
    <w:p w14:paraId="02D6BAFD"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13.上海全面推进城市数字化转型路径研究</w:t>
      </w:r>
    </w:p>
    <w:p w14:paraId="02D03B61"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lastRenderedPageBreak/>
        <w:t>14.上海产业数字化转型的思路与对策研究</w:t>
      </w:r>
    </w:p>
    <w:p w14:paraId="0982A5F3"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15.上海“3+6”产业体系重构升级与构筑产业发展新优势研究</w:t>
      </w:r>
    </w:p>
    <w:p w14:paraId="74251E1B"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16.上海增强产业</w:t>
      </w:r>
      <w:proofErr w:type="gramStart"/>
      <w:r>
        <w:rPr>
          <w:rFonts w:ascii="Microsoft YaHei UI" w:eastAsia="Microsoft YaHei UI" w:hAnsi="Microsoft YaHei UI" w:hint="eastAsia"/>
          <w:color w:val="333333"/>
          <w:spacing w:val="8"/>
        </w:rPr>
        <w:t>链供应</w:t>
      </w:r>
      <w:proofErr w:type="gramEnd"/>
      <w:r>
        <w:rPr>
          <w:rFonts w:ascii="Microsoft YaHei UI" w:eastAsia="Microsoft YaHei UI" w:hAnsi="Microsoft YaHei UI" w:hint="eastAsia"/>
          <w:color w:val="333333"/>
          <w:spacing w:val="8"/>
        </w:rPr>
        <w:t>链自主可控能力研究</w:t>
      </w:r>
    </w:p>
    <w:p w14:paraId="4F00EB49"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17.进一步加大本市高新技术企业培育力度研究</w:t>
      </w:r>
    </w:p>
    <w:p w14:paraId="714F327F"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18.上海知识产权保护体系进一步完善升级研究</w:t>
      </w:r>
    </w:p>
    <w:p w14:paraId="06513052"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19.新发展阶段上海创新投融资渠道与方式研究</w:t>
      </w:r>
    </w:p>
    <w:p w14:paraId="73B768C4"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20.加大本市国有资本对战略性产业投资力度研究</w:t>
      </w:r>
    </w:p>
    <w:p w14:paraId="5E3B2322"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21.城市规划和微更新与上海全域旅游发展研究</w:t>
      </w:r>
    </w:p>
    <w:p w14:paraId="1DBFB9FA"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22.上海医药产业与医疗服务业融合发展研究</w:t>
      </w:r>
    </w:p>
    <w:p w14:paraId="5F4E7181"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23.进一步提升上海社区卫生服务中心公共卫生应急能力研究</w:t>
      </w:r>
    </w:p>
    <w:p w14:paraId="5F6538DA"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24.以产业和研发为核心推动上海“南北转型”研究</w:t>
      </w:r>
    </w:p>
    <w:p w14:paraId="4942FEFA"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25.进一步做强上海区级经济研究</w:t>
      </w:r>
    </w:p>
    <w:p w14:paraId="2A3C995C"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26.引导社会力量参与“五大新城”建设的机制和政策研究</w:t>
      </w:r>
    </w:p>
    <w:p w14:paraId="71D41E68"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27.“五大新城”差别化发展政策研究</w:t>
      </w:r>
    </w:p>
    <w:p w14:paraId="719F80A0"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28.推进国内外优质医疗卫生人才向新城集聚研究</w:t>
      </w:r>
    </w:p>
    <w:p w14:paraId="0F167C47"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29.上海市</w:t>
      </w:r>
      <w:proofErr w:type="gramStart"/>
      <w:r>
        <w:rPr>
          <w:rFonts w:ascii="Microsoft YaHei UI" w:eastAsia="Microsoft YaHei UI" w:hAnsi="Microsoft YaHei UI" w:hint="eastAsia"/>
          <w:color w:val="333333"/>
          <w:spacing w:val="8"/>
        </w:rPr>
        <w:t>域空间</w:t>
      </w:r>
      <w:proofErr w:type="gramEnd"/>
      <w:r>
        <w:rPr>
          <w:rFonts w:ascii="Microsoft YaHei UI" w:eastAsia="Microsoft YaHei UI" w:hAnsi="Microsoft YaHei UI" w:hint="eastAsia"/>
          <w:color w:val="333333"/>
          <w:spacing w:val="8"/>
        </w:rPr>
        <w:t>新格局下促进新型城镇化高质量发展研究</w:t>
      </w:r>
    </w:p>
    <w:p w14:paraId="6CAA76E6"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30.鼓励国有企业和社会资本参与本市乡村振兴的路径和政策研究</w:t>
      </w:r>
    </w:p>
    <w:p w14:paraId="62A03DDA"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31.上海城乡统一的建设用地市场运行体制与机制研究</w:t>
      </w:r>
    </w:p>
    <w:p w14:paraId="3871CE67"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32.加快上海地下空间资源开发利用研究</w:t>
      </w:r>
    </w:p>
    <w:p w14:paraId="01082914"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33.上海安全韧性城市建设的思路和对策研究</w:t>
      </w:r>
    </w:p>
    <w:p w14:paraId="311C87B5"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34.上海2025年实现碳排放达峰的前景、难点和关键举措研究</w:t>
      </w:r>
    </w:p>
    <w:p w14:paraId="2E8F0160"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35.加快建设长三角一体化大市场研究</w:t>
      </w:r>
    </w:p>
    <w:p w14:paraId="3F347DF4"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lastRenderedPageBreak/>
        <w:t> </w:t>
      </w:r>
    </w:p>
    <w:p w14:paraId="5BD0D311"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i/>
          <w:iCs/>
          <w:color w:val="333333"/>
          <w:spacing w:val="8"/>
        </w:rPr>
        <w:t>（以下课题为青年专项，申请人年龄不超过45周岁）</w:t>
      </w:r>
    </w:p>
    <w:p w14:paraId="753E1807"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36.上海吸引全球专业服务机构的政策研究</w:t>
      </w:r>
    </w:p>
    <w:p w14:paraId="6A2CB11D"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37.新发展格局下更好</w:t>
      </w:r>
      <w:proofErr w:type="gramStart"/>
      <w:r>
        <w:rPr>
          <w:rFonts w:ascii="Microsoft YaHei UI" w:eastAsia="Microsoft YaHei UI" w:hAnsi="Microsoft YaHei UI" w:hint="eastAsia"/>
          <w:color w:val="333333"/>
          <w:spacing w:val="8"/>
        </w:rPr>
        <w:t>发挥进博会</w:t>
      </w:r>
      <w:proofErr w:type="gramEnd"/>
      <w:r>
        <w:rPr>
          <w:rFonts w:ascii="Microsoft YaHei UI" w:eastAsia="Microsoft YaHei UI" w:hAnsi="Microsoft YaHei UI" w:hint="eastAsia"/>
          <w:color w:val="333333"/>
          <w:spacing w:val="8"/>
        </w:rPr>
        <w:t>平台枢纽功能研究</w:t>
      </w:r>
    </w:p>
    <w:p w14:paraId="4F938704"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38.上海进一步促进外资金融机构发展研究</w:t>
      </w:r>
    </w:p>
    <w:p w14:paraId="69AF8A5A"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39.促进本市科研与产业双向链接的新型研发机构发展研究</w:t>
      </w:r>
    </w:p>
    <w:p w14:paraId="0E5BA01A"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40.新阶段上海更好</w:t>
      </w:r>
      <w:proofErr w:type="gramStart"/>
      <w:r>
        <w:rPr>
          <w:rFonts w:ascii="Microsoft YaHei UI" w:eastAsia="Microsoft YaHei UI" w:hAnsi="Microsoft YaHei UI" w:hint="eastAsia"/>
          <w:color w:val="333333"/>
          <w:spacing w:val="8"/>
        </w:rPr>
        <w:t>发挥科创资本</w:t>
      </w:r>
      <w:proofErr w:type="gramEnd"/>
      <w:r>
        <w:rPr>
          <w:rFonts w:ascii="Microsoft YaHei UI" w:eastAsia="Microsoft YaHei UI" w:hAnsi="Microsoft YaHei UI" w:hint="eastAsia"/>
          <w:color w:val="333333"/>
          <w:spacing w:val="8"/>
        </w:rPr>
        <w:t>作用研究</w:t>
      </w:r>
    </w:p>
    <w:p w14:paraId="6C19AD28"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41.新形势下上海进一步完善人才引进政策研究</w:t>
      </w:r>
    </w:p>
    <w:p w14:paraId="3014BBB6"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42.上海推动生活数字化的路径和措施研究</w:t>
      </w:r>
    </w:p>
    <w:p w14:paraId="2672096A"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43.进一步完善本市“民心工程”推进机制研究</w:t>
      </w:r>
    </w:p>
    <w:p w14:paraId="7FDFE83E"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44.扩大本市优质教育资源供给研究</w:t>
      </w:r>
    </w:p>
    <w:p w14:paraId="4BDD9054"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45.上海健康服务业新产业新业态发展研究</w:t>
      </w:r>
    </w:p>
    <w:p w14:paraId="0DF6BF75"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46.推进本市高水平研究型医院建设及国际比较研究</w:t>
      </w:r>
    </w:p>
    <w:p w14:paraId="4E1BB648"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47.深入推进上海“体医融合”的难点和堵点研究</w:t>
      </w:r>
    </w:p>
    <w:p w14:paraId="182CCCA3"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48.上海红色文化资源整合与创新研究</w:t>
      </w:r>
    </w:p>
    <w:p w14:paraId="09B352F3"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49.上海加快打造数字政府提升政府治理能力研究</w:t>
      </w:r>
    </w:p>
    <w:p w14:paraId="3F81DD90"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50.推动长三角区域养老服务合作的思路和举措研究</w:t>
      </w:r>
    </w:p>
    <w:p w14:paraId="741DBA5F"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二、招标范围</w:t>
      </w:r>
    </w:p>
    <w:p w14:paraId="3383BF48"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本次招标面向全国高等院校、科研机构、社会团体、企业等单位或个人（个人申报须有课题依托管理单位）。</w:t>
      </w:r>
    </w:p>
    <w:p w14:paraId="604DEEDE"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三、投标程序</w:t>
      </w:r>
    </w:p>
    <w:p w14:paraId="28D19FF4" w14:textId="5041539A"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lastRenderedPageBreak/>
        <w:t>1．申报方式：采用</w:t>
      </w:r>
      <w:r w:rsidRPr="00694659">
        <w:rPr>
          <w:rFonts w:ascii="Microsoft YaHei UI" w:eastAsia="Microsoft YaHei UI" w:hAnsi="Microsoft YaHei UI" w:hint="eastAsia"/>
          <w:b/>
          <w:color w:val="333333"/>
          <w:spacing w:val="8"/>
        </w:rPr>
        <w:t>网上申报方式</w:t>
      </w:r>
      <w:r>
        <w:rPr>
          <w:rFonts w:ascii="Microsoft YaHei UI" w:eastAsia="Microsoft YaHei UI" w:hAnsi="Microsoft YaHei UI" w:hint="eastAsia"/>
          <w:color w:val="333333"/>
          <w:spacing w:val="8"/>
        </w:rPr>
        <w:t>，无需提交纸质材料。申请人通过登录</w:t>
      </w:r>
      <w:r w:rsidRPr="00694659">
        <w:rPr>
          <w:rFonts w:ascii="Microsoft YaHei UI" w:eastAsia="Microsoft YaHei UI" w:hAnsi="Microsoft YaHei UI" w:hint="eastAsia"/>
          <w:b/>
          <w:color w:val="333333"/>
          <w:spacing w:val="8"/>
        </w:rPr>
        <w:t>上海市人民政府发展研究中心网站（http://www.fzzx.sh.gov.cn）——“项目申报”栏目——“决策咨询研究项目管理平台”</w:t>
      </w:r>
      <w:r>
        <w:rPr>
          <w:rFonts w:ascii="Microsoft YaHei UI" w:eastAsia="Microsoft YaHei UI" w:hAnsi="Microsoft YaHei UI" w:hint="eastAsia"/>
          <w:color w:val="333333"/>
          <w:spacing w:val="8"/>
        </w:rPr>
        <w:t>进行申报</w:t>
      </w:r>
      <w:r w:rsidR="00694659">
        <w:rPr>
          <w:rFonts w:ascii="Microsoft YaHei UI" w:eastAsia="Microsoft YaHei UI" w:hAnsi="Microsoft YaHei UI" w:hint="eastAsia"/>
          <w:color w:val="333333"/>
          <w:spacing w:val="8"/>
        </w:rPr>
        <w:t>（</w:t>
      </w:r>
      <w:r w:rsidR="00694659" w:rsidRPr="00694659">
        <w:rPr>
          <w:rFonts w:ascii="Microsoft YaHei UI" w:eastAsia="Microsoft YaHei UI" w:hAnsi="Microsoft YaHei UI" w:hint="eastAsia"/>
          <w:b/>
          <w:color w:val="333333"/>
          <w:spacing w:val="8"/>
        </w:rPr>
        <w:t>“申请单位”填写“上海交通大学”</w:t>
      </w:r>
      <w:r w:rsidR="00694659">
        <w:rPr>
          <w:rFonts w:ascii="Microsoft YaHei UI" w:eastAsia="Microsoft YaHei UI" w:hAnsi="Microsoft YaHei UI" w:hint="eastAsia"/>
          <w:color w:val="333333"/>
          <w:spacing w:val="8"/>
        </w:rPr>
        <w:t>）</w:t>
      </w:r>
      <w:r>
        <w:rPr>
          <w:rFonts w:ascii="Microsoft YaHei UI" w:eastAsia="Microsoft YaHei UI" w:hAnsi="Microsoft YaHei UI" w:hint="eastAsia"/>
          <w:color w:val="333333"/>
          <w:spacing w:val="8"/>
        </w:rPr>
        <w:t>。</w:t>
      </w:r>
    </w:p>
    <w:p w14:paraId="0CF21D4C" w14:textId="76FF162A"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 申报步骤：</w:t>
      </w:r>
      <w:r w:rsidR="00694659" w:rsidRPr="00694659">
        <w:rPr>
          <w:rFonts w:ascii="Microsoft YaHei UI" w:eastAsia="Microsoft YaHei UI" w:hAnsi="Microsoft YaHei UI" w:hint="eastAsia"/>
          <w:color w:val="333333"/>
          <w:spacing w:val="8"/>
        </w:rPr>
        <w:t>（</w:t>
      </w:r>
      <w:r w:rsidR="00694659" w:rsidRPr="00694659">
        <w:rPr>
          <w:rFonts w:ascii="Microsoft YaHei UI" w:eastAsia="Microsoft YaHei UI" w:hAnsi="Microsoft YaHei UI"/>
          <w:color w:val="333333"/>
          <w:spacing w:val="8"/>
        </w:rPr>
        <w:t>1）申请人所在单位进行注册（单位注册需使用“法人一证通”进行校验）；（2）申请人采用网上申报方式，无需提交纸质材料。申请人通过登录上海市人民政府发展研究中心网站（http://www.fzzx.sh.gov.cn）——“项目申报”栏目——“决策咨询研究项目管理平台”进行申报。；（3）申请人填写提交申报材料；（4）申请人所在单位完成网上审核。</w:t>
      </w:r>
    </w:p>
    <w:p w14:paraId="3F5AB54A"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3．课题指南获取：登录上海市人民政府发展研究中心网站查阅《2021年度上海市人民政府决策咨询研究重点课题指南》。</w:t>
      </w:r>
    </w:p>
    <w:p w14:paraId="15E9B911"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4．申报数量限制：</w:t>
      </w:r>
      <w:r w:rsidRPr="00694659">
        <w:rPr>
          <w:rFonts w:ascii="Microsoft YaHei UI" w:eastAsia="Microsoft YaHei UI" w:hAnsi="Microsoft YaHei UI" w:hint="eastAsia"/>
          <w:b/>
          <w:color w:val="333333"/>
          <w:spacing w:val="8"/>
        </w:rPr>
        <w:t>同一申请人，申报课题数量不能超过两项</w:t>
      </w:r>
      <w:r>
        <w:rPr>
          <w:rFonts w:ascii="Microsoft YaHei UI" w:eastAsia="Microsoft YaHei UI" w:hAnsi="Microsoft YaHei UI" w:hint="eastAsia"/>
          <w:color w:val="333333"/>
          <w:spacing w:val="8"/>
        </w:rPr>
        <w:t>，超限申报无效。</w:t>
      </w:r>
    </w:p>
    <w:p w14:paraId="426D8B35"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5．在线填写要求：申请人填表前应仔细阅读课题指南和填表说明；申报材料填写应简明扼要，突出重点和关键，</w:t>
      </w:r>
      <w:r w:rsidRPr="00694659">
        <w:rPr>
          <w:rFonts w:ascii="Microsoft YaHei UI" w:eastAsia="Microsoft YaHei UI" w:hAnsi="Microsoft YaHei UI" w:hint="eastAsia"/>
          <w:b/>
          <w:color w:val="333333"/>
          <w:spacing w:val="8"/>
        </w:rPr>
        <w:t>其中《课题研究大纲》部分不得出现课题申请人及成员的姓名和单位</w:t>
      </w:r>
      <w:r>
        <w:rPr>
          <w:rFonts w:ascii="Microsoft YaHei UI" w:eastAsia="Microsoft YaHei UI" w:hAnsi="Microsoft YaHei UI" w:hint="eastAsia"/>
          <w:color w:val="333333"/>
          <w:spacing w:val="8"/>
        </w:rPr>
        <w:t>，字数限5000字，图表不超过规定尺寸。</w:t>
      </w:r>
    </w:p>
    <w:p w14:paraId="7F823569" w14:textId="1FCD20A0"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6．网上申报受理日期：</w:t>
      </w:r>
      <w:r w:rsidRPr="00694659">
        <w:rPr>
          <w:rFonts w:ascii="Microsoft YaHei UI" w:eastAsia="Microsoft YaHei UI" w:hAnsi="Microsoft YaHei UI" w:hint="eastAsia"/>
          <w:b/>
          <w:color w:val="333333"/>
          <w:spacing w:val="8"/>
        </w:rPr>
        <w:t>2021年4月6日至4月</w:t>
      </w:r>
      <w:r w:rsidR="002C7118">
        <w:rPr>
          <w:rFonts w:ascii="Microsoft YaHei UI" w:eastAsia="Microsoft YaHei UI" w:hAnsi="Microsoft YaHei UI" w:hint="eastAsia"/>
          <w:b/>
          <w:color w:val="333333"/>
          <w:spacing w:val="8"/>
        </w:rPr>
        <w:t>19</w:t>
      </w:r>
      <w:r w:rsidRPr="00694659">
        <w:rPr>
          <w:rFonts w:ascii="Microsoft YaHei UI" w:eastAsia="Microsoft YaHei UI" w:hAnsi="Microsoft YaHei UI" w:hint="eastAsia"/>
          <w:b/>
          <w:color w:val="333333"/>
          <w:spacing w:val="8"/>
        </w:rPr>
        <w:t>日</w:t>
      </w:r>
      <w:r w:rsidR="002C7118">
        <w:rPr>
          <w:rFonts w:ascii="Microsoft YaHei UI" w:eastAsia="Microsoft YaHei UI" w:hAnsi="Microsoft YaHei UI" w:hint="eastAsia"/>
          <w:b/>
          <w:color w:val="333333"/>
          <w:spacing w:val="8"/>
        </w:rPr>
        <w:t>16：00截止</w:t>
      </w:r>
      <w:bookmarkStart w:id="0" w:name="_GoBack"/>
      <w:bookmarkEnd w:id="0"/>
      <w:r>
        <w:rPr>
          <w:rFonts w:ascii="Microsoft YaHei UI" w:eastAsia="Microsoft YaHei UI" w:hAnsi="Microsoft YaHei UI" w:hint="eastAsia"/>
          <w:color w:val="333333"/>
          <w:spacing w:val="8"/>
        </w:rPr>
        <w:t>。</w:t>
      </w:r>
    </w:p>
    <w:p w14:paraId="4147F016"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四、评标程序</w:t>
      </w:r>
    </w:p>
    <w:p w14:paraId="7FD2480A"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1．申报受理后，由招标单位组织进行两轮评审。</w:t>
      </w:r>
    </w:p>
    <w:p w14:paraId="4122B5D9"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lastRenderedPageBreak/>
        <w:t>2．中标结果将于2021年5月上旬在中国上海门户网站（www.sh.gov.cn）和上海市人民政府发展研究中心网站公布。</w:t>
      </w:r>
    </w:p>
    <w:p w14:paraId="6BA71661"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五、经费资助</w:t>
      </w:r>
    </w:p>
    <w:p w14:paraId="04126B32"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每项资助人民币8至10万元。</w:t>
      </w:r>
    </w:p>
    <w:p w14:paraId="51A71CA1" w14:textId="77777777" w:rsidR="004A1093" w:rsidRDefault="004A1093" w:rsidP="004A109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六、联系方式</w:t>
      </w:r>
    </w:p>
    <w:p w14:paraId="1CB31473" w14:textId="77777777" w:rsidR="00C60E41" w:rsidRPr="004421E3" w:rsidRDefault="00C60E41" w:rsidP="00C60E41">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地址：闵行校区新行政B楼5</w:t>
      </w:r>
      <w:r>
        <w:rPr>
          <w:rFonts w:ascii="Microsoft YaHei UI" w:eastAsia="Microsoft YaHei UI" w:hAnsi="Microsoft YaHei UI" w:cs="宋体" w:hint="eastAsia"/>
          <w:color w:val="333333"/>
          <w:spacing w:val="8"/>
          <w:kern w:val="0"/>
          <w:sz w:val="24"/>
          <w:szCs w:val="24"/>
        </w:rPr>
        <w:t>19</w:t>
      </w:r>
    </w:p>
    <w:p w14:paraId="1D244E3B" w14:textId="423CC1EF" w:rsidR="00C60E41" w:rsidRPr="004421E3" w:rsidRDefault="00C60E41" w:rsidP="00C60E41">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14D9E7BB" w14:textId="09C12B62" w:rsidR="00C60E41" w:rsidRPr="004421E3" w:rsidRDefault="00C60E41" w:rsidP="00C60E41">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58A09DDD" w14:textId="6E502A9A" w:rsidR="004A1093" w:rsidRPr="00C60E41" w:rsidRDefault="00C60E41" w:rsidP="00C60E41">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195DC756" w14:textId="77777777" w:rsidR="004A1093" w:rsidRPr="004A1093" w:rsidRDefault="004A1093"/>
    <w:sectPr w:rsidR="004A1093" w:rsidRPr="004A10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05CF" w14:textId="77777777" w:rsidR="00126CF8" w:rsidRDefault="00126CF8" w:rsidP="002C7118">
      <w:r>
        <w:separator/>
      </w:r>
    </w:p>
  </w:endnote>
  <w:endnote w:type="continuationSeparator" w:id="0">
    <w:p w14:paraId="1A0C965F" w14:textId="77777777" w:rsidR="00126CF8" w:rsidRDefault="00126CF8" w:rsidP="002C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4C1D8" w14:textId="77777777" w:rsidR="00126CF8" w:rsidRDefault="00126CF8" w:rsidP="002C7118">
      <w:r>
        <w:separator/>
      </w:r>
    </w:p>
  </w:footnote>
  <w:footnote w:type="continuationSeparator" w:id="0">
    <w:p w14:paraId="612598E3" w14:textId="77777777" w:rsidR="00126CF8" w:rsidRDefault="00126CF8" w:rsidP="002C7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4F"/>
    <w:rsid w:val="00126CF8"/>
    <w:rsid w:val="002C7118"/>
    <w:rsid w:val="004A1093"/>
    <w:rsid w:val="00694659"/>
    <w:rsid w:val="008F734F"/>
    <w:rsid w:val="00BE6BE4"/>
    <w:rsid w:val="00C60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4924"/>
  <w15:chartTrackingRefBased/>
  <w15:docId w15:val="{472EC2DA-6C5D-4866-90F0-66461F03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A109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A1093"/>
    <w:rPr>
      <w:rFonts w:ascii="宋体" w:eastAsia="宋体" w:hAnsi="宋体" w:cs="宋体"/>
      <w:b/>
      <w:bCs/>
      <w:kern w:val="0"/>
      <w:sz w:val="36"/>
      <w:szCs w:val="36"/>
    </w:rPr>
  </w:style>
  <w:style w:type="paragraph" w:styleId="a3">
    <w:name w:val="Normal (Web)"/>
    <w:basedOn w:val="a"/>
    <w:uiPriority w:val="99"/>
    <w:semiHidden/>
    <w:unhideWhenUsed/>
    <w:rsid w:val="004A10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1093"/>
    <w:rPr>
      <w:b/>
      <w:bCs/>
    </w:rPr>
  </w:style>
  <w:style w:type="paragraph" w:styleId="a5">
    <w:name w:val="header"/>
    <w:basedOn w:val="a"/>
    <w:link w:val="a6"/>
    <w:uiPriority w:val="99"/>
    <w:unhideWhenUsed/>
    <w:rsid w:val="002C711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C7118"/>
    <w:rPr>
      <w:sz w:val="18"/>
      <w:szCs w:val="18"/>
    </w:rPr>
  </w:style>
  <w:style w:type="paragraph" w:styleId="a7">
    <w:name w:val="footer"/>
    <w:basedOn w:val="a"/>
    <w:link w:val="a8"/>
    <w:uiPriority w:val="99"/>
    <w:unhideWhenUsed/>
    <w:rsid w:val="002C7118"/>
    <w:pPr>
      <w:tabs>
        <w:tab w:val="center" w:pos="4153"/>
        <w:tab w:val="right" w:pos="8306"/>
      </w:tabs>
      <w:snapToGrid w:val="0"/>
      <w:jc w:val="left"/>
    </w:pPr>
    <w:rPr>
      <w:sz w:val="18"/>
      <w:szCs w:val="18"/>
    </w:rPr>
  </w:style>
  <w:style w:type="character" w:customStyle="1" w:styleId="a8">
    <w:name w:val="页脚 字符"/>
    <w:basedOn w:val="a0"/>
    <w:link w:val="a7"/>
    <w:uiPriority w:val="99"/>
    <w:rsid w:val="002C71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5714">
      <w:bodyDiv w:val="1"/>
      <w:marLeft w:val="0"/>
      <w:marRight w:val="0"/>
      <w:marTop w:val="0"/>
      <w:marBottom w:val="0"/>
      <w:divBdr>
        <w:top w:val="none" w:sz="0" w:space="0" w:color="auto"/>
        <w:left w:val="none" w:sz="0" w:space="0" w:color="auto"/>
        <w:bottom w:val="none" w:sz="0" w:space="0" w:color="auto"/>
        <w:right w:val="none" w:sz="0" w:space="0" w:color="auto"/>
      </w:divBdr>
    </w:div>
    <w:div w:id="6786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2021-04-02T08:40:00Z</dcterms:created>
  <dcterms:modified xsi:type="dcterms:W3CDTF">2021-04-02T08:49:00Z</dcterms:modified>
</cp:coreProperties>
</file>